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Jalen Maddox</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5, 2024</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Day, November 5, 2024, is crucial for all eligible voters to exercise their right to vote and participate in our democracy. One of the most important ways we can ensure our government represents our interests and takes up important problems is to vote. Every vote counts in forming the leadership and policies that will shape the future of our country.</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reform is a significant issue that requires immediate attention. Among the many issues plaguing our educational system are inadequate financing for public schools, out-of-date curricula, and uneven access to high-quality education. Ensuring universal access to high-quality education is essential for our society's future fairness and prosperity. The main goals of education reform should be to close the performance gap, update the curriculum to reflect the needs of a world that is changing quickly, and give teachers and students access to sufficient resources and support.</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supporting politicians who place a high priority on education reform, we can push for laws that improve our educational system, support creative teaching strategies, and guarantee that every student has the chance to achieve. Enhancing our educational system involves more than just getting the next generation ready for the workforce; it also encourages civic engagement, creativity, and critical thinking. You can help advocates committed to building a more just and efficient educational system by casting your vote for them</w:t>
      </w:r>
    </w:p>
    <w:p w:rsidR="00000000" w:rsidDel="00000000" w:rsidP="00000000" w:rsidRDefault="00000000" w:rsidRPr="00000000" w14:paraId="0000000A">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